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A.VII-b WL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I-b-WL-amendement-uniformiteit-in-parkeertij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A.III D66, DUS amendement Stadhuisgarage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II-D66-DUS-amendement-Stadhuisgar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A.II VVD, SP, WL,PvdA amendement parkeertarieven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I-VVD-SP-WL-PvdA-amendement-parkeertar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A.I PvdA, DUS amendement parkeertarieven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-PvdA-DUS-amendement-parkeertar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A.VI DUS, PvdA, D66 amendement parkeren 
              <text:s/>
              tarief parkeergarages 1 euro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-DUS-PvdA-D66-amendement-parkeren-tarief-parkeergarages-1-eu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A.V PvdA, D66 amendement parkeergarage Kromstraat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-PvdA-D66-amendement-parkeergarage-Krom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A.IV DUS, PvdA, D66 
              <text:s/>
              amendement slagboominstallatie Muntgarage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V-DUS-PvdA-D66-amendement-slagboominstallatie-Muntgar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A.VII-a WL, D66, PvdA, VVD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I-a-WL-D66-PvdA-VVD-amendement-Uniformiteit-in-parkeer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0" meta:character-count="778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