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 en VVD amendement Museumbeleid 2015-2025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55,03 KB</text:p>
          </table:table-cell>
          <table:table-cell table:style-name="Table3.A2" office:value-type="string">
            <text:p text:style-name="P22">
              <text:a xlink:type="simple" xlink:href="http://gemeenteraad.weert.nl/Documenten/Amendementen/D66-en-VVD-amendement-Museumbeleid-2015-2025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CDA, SP, D66 en DUS Weert drank en horeca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SP-D66-en-DUS-Weert-drank-en-horec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DUS, PvdA bestuursopdracht museumbeleid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US-PvdA-bestuursopdracht-museum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D66 en VVD amendement Museumbeleid 2015-2025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://gemeenteraad.weert.nl/Documenten/Amendementen/D66-en-VVD-amendement-Museumbeleid-2015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27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