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artikel 5.8 financiële verordening-subsidies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rtikel-5-8-financiele-verordening-subsid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artikel 5.7 financiële verordening-begrotingswijzigingen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348,22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rtikel-5-7-financiele-verordening-begrotingswijz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artikel 5.6 financiële verordening-afwijkingen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rtikel-5-6-financiele-verordening-afwijk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artikel 5.3 financiële verordening-prioriteiten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rtikel-5-3-financiele-verordening-prioritei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artikel 4.1 financiële verordening-aanbieding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345,28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rtikel-4-1-financiele-verordening-aanbieding-kadern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artikel 3 financiële verordening-bedrijfsvoering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rtikel-3-financiele-verordening-bedrijfsvo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artikel 2.2 financiële verordening-programmaindeling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rtikel-2-2-financiele-verordening-programmain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GRP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GRP-2017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inburg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Houtelingsweg 2A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443,48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outelingsweg-2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Houtelingsweg2A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364,37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outelingsweg2A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1" meta:character-count="985" meta:non-whitespace-character-count="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