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Compensatiegelden lokale culturele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278,76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ompensatiegelden-lokale-culturele-infrastruc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Keent Moesel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439,62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Keent-Moes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toelichtende tekst griffier
              <text:span text:style-name="T2"/>
            </text:p>
            <text:p text:style-name="P3"/>
          </table:table-cell>
          <table:table-cell table:style-name="Table3.A2" office:value-type="string">
            <text:p text:style-name="P4">03-10-2022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23,48 KB</text:p>
          </table:table-cell>
          <table:table-cell table:style-name="Table3.A2" office:value-type="string">
            <text:p text:style-name="P22">
              <text:a xlink:type="simple" xlink:href="http://gemeenteraad.weert.nl/documenten/Amendementen/toelichtende-tekst-griffier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WIJZIGINGEN WET GEMEENSCHAPPELIJKE REGELINGEN PER 1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03-10-2022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32,62 KB</text:p>
          </table:table-cell>
          <table:table-cell table:style-name="Table3.A2" office:value-type="string">
            <text:p text:style-name="P22">
              <text:a xlink:type="simple" xlink:href="http://gemeenteraad.weert.nl/documenten/Amendementen/OVERZICHT-WIJZIGINGEN-WET-GEMEENSCHAPPELIJKE-REGELINGEN-PER-1-JULI-2022-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RUD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RU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457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