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VI.A.1 Prioriteit 6.1 Waarborgen meer integere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Amendementen-en-moties-1/VI-A-1-Prioriteit-6-1-Waarborgen-meer-integere-dienstverl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II.A.5 Subsidie HV Rapiditas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II-A-5-Subsidie-HV-Rapidita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II.A.4 Zaalruimte voor Altweerterheide en Boshoven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207,42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II-A-4-Zaalruimte-voor-Altweerterheide-en-Boshov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II.A.7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II-A-7-Subsidie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VII.A.3 Consistente verwerking van (incidentele)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VII-A-3-Consistente-verwerking-van-incidentele-prioritei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VII.A.2 Prioriteit Ov.1 vergroten inkomsten door duurzame inzet op externe financiering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VII-A-2-Prioriteit-Ov-1-vergroten-inkomsten-door-duurzame-inzet-op-externe-financi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VI.A.2 Prioriteit 6.3 Vergroten vertrouwen burger op overheidshandelen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VI-A-2-Prioriteit-6-3-Vergroten-vertrouwen-burger-op-overheidshand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V.A.1 Prioriteit Strategisch Vermogen Organisatie Borgen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V-A-1-Prioriteit-Strategisch-Vermogen-Organisatie-Bor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IV.A.3 Prioriteit 4.5 continuering en versterking binnenstad management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IV-A-3-Prioriteit-4-5-continuering-en-versterking-binnenstad-managem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IV.A.2 Prioriteit 4.4 continueren inzet Stadslab Weert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IV-A-2-Prioriteit-4-4-continueren-inzet-Stadslab-Wee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IV.A.1 Prioriteit 4.3 continueren inzet Stichting Streetwise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IV-A-1-Prioriteit-4-3-continueren-inzet-Stichting-Streetwis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II.A.6 Prioriteit 2.6 Techniek Campus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II-A-6-Prioriteit-2-6-Techniek-Campu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I.A.2 Prioriteit 1.4 professionalisering vastgoedmanagement en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I-A-2-Prioriteit-1-4-professionalisering-vastgoedmanagement-en-grondbel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I.A.1 Prioriteit 1.3 optimaliseren dienstverlening mbt.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I-A-1-Prioriteit-1-3-optimaliseren-dienstverlening-mbt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VII.A.1 Aanpak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VII-A-1-Aanpak-oneigenlijk-grondgebrui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II.A.3 Norm individuele inkomenstoeslag (voorheen langdurigheidstoeslag)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II-A-3-Norm-individuele-inkomenstoeslag-voorheen-langdurigheidstoesla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II.A.2 Norm bijzondere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II-A-2-Norm-bijzondere-bijst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II.A.1 Individuele inkomenstoeslag VERVALLEN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II-A-1-Individuele-inkomenstoesla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III.A.1 Vetgedrukte prioriteit aanvullende capaciteitsuitbreiding NMC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Moties-en-amendementen-1/III-A-1-Vetgedrukte-prioriteit-aanvullende-capaciteitsuitbreiding-NM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47" meta:character-count="1761" meta:non-whitespace-character-count="1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