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VVV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899,94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VV-Midden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Bevolkingsontwikkeling 2015 regio tm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27-03-2015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2015-regio-tm-februar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43 Gebiedsbureau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43-Gebiedsbureau-maart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Keyport 2020 Keynotes 62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en vergaderstukken van AB VRLN en BC GGD d.d. 27-03-2015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genda-en-vergaderstukken-van-AB-VRLN-en-BC-GGD-d-d-27-03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3e 
              <text:s/>
              informatiebrief Waterkracht (maart 2015)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424,12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3e-informatiebrief-Waterkracht-maart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Brainport 2020 #28 2015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Brainport-2020-28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Keyport 2020 Keynotes 61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6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Uitnodiging Keyport 2020 Symposium op 14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719,52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nodiging-Keyport-2020-Symposium-op-14-april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Uitnodiging congres Terug aan tafel 16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nodiging-congres-Terug-aan-tafel-16-april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0" meta:character-count="858" meta:non-whitespace-character-count="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