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DUS Weert over huisvesting arbeidsmigranten kelderverdieping WBM-gebouw
              <text:span text:style-name="T2"/>
            </text:p>
            <text:p text:style-name="P3"/>
          </table:table-cell>
          <table:table-cell table:style-name="Table3.A2" office:value-type="string">
            <text:p text:style-name="P4">23-08-2019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huisvesting-arbeidsmigranten-kelderverdieping-WBM-ge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DUS Weert uitspraak Duurzaam Industriepark Cranendonck (DIC)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19,67 KB</text:p>
          </table:table-cell>
          <table:table-cell table:style-name="Table3.A2" office:value-type="string">
            <text:p text:style-name="P22">
              <text:a xlink:type="simple" xlink:href="http://gemeenteraad.weert.nl/documenten/Uitnodigingen/Vragen-DUS-Weert-uitspraak-Duurzaam-Industriepark-Cranendonck-DI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43" meta:non-whitespace-character-count="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